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18A45" w14:textId="6C8CD8A7" w:rsidR="00410D17" w:rsidRDefault="00410D17" w:rsidP="00410D17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86</w:t>
      </w:r>
      <w:r w:rsidR="00B550B8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903B09" w:rsidRPr="00903B09">
        <w:rPr>
          <w:rFonts w:cs="Arial"/>
          <w:b/>
          <w:iCs/>
          <w:sz w:val="24"/>
          <w:szCs w:val="24"/>
        </w:rPr>
        <w:t>R4-1803955</w:t>
      </w:r>
      <w:bookmarkStart w:id="1" w:name="_GoBack"/>
      <w:bookmarkEnd w:id="1"/>
    </w:p>
    <w:p w14:paraId="27025408" w14:textId="20660D2D" w:rsidR="00410D17" w:rsidRDefault="00B550B8" w:rsidP="00410D17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Melbourne, Australia</w:t>
      </w:r>
      <w:r w:rsidR="00410D17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 xml:space="preserve">16-20 April, </w:t>
      </w:r>
      <w:r w:rsidR="00410D17">
        <w:rPr>
          <w:rFonts w:cs="Arial"/>
          <w:sz w:val="24"/>
          <w:szCs w:val="24"/>
        </w:rPr>
        <w:t>201</w:t>
      </w:r>
      <w:bookmarkEnd w:id="0"/>
      <w:r w:rsidR="00410D17">
        <w:rPr>
          <w:rFonts w:cs="Arial"/>
          <w:sz w:val="24"/>
          <w:szCs w:val="24"/>
        </w:rPr>
        <w:t>8</w:t>
      </w:r>
    </w:p>
    <w:p w14:paraId="3CF7922C" w14:textId="77777777" w:rsidR="00491A21" w:rsidRDefault="00491A21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</w:p>
    <w:p w14:paraId="2C01B5AF" w14:textId="3BF12D98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604D01">
        <w:rPr>
          <w:sz w:val="22"/>
        </w:rPr>
        <w:t>T-Mobile</w:t>
      </w:r>
      <w:r w:rsidR="00712547">
        <w:rPr>
          <w:sz w:val="22"/>
        </w:rPr>
        <w:t xml:space="preserve"> USA</w:t>
      </w:r>
    </w:p>
    <w:p w14:paraId="58A3D7EF" w14:textId="4F345963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A63A57">
        <w:rPr>
          <w:sz w:val="22"/>
        </w:rPr>
        <w:t xml:space="preserve">BCS for </w:t>
      </w:r>
      <w:r w:rsidR="0018632C">
        <w:rPr>
          <w:sz w:val="22"/>
        </w:rPr>
        <w:t>Intra-band</w:t>
      </w:r>
      <w:r w:rsidR="00DC66BC">
        <w:rPr>
          <w:sz w:val="22"/>
        </w:rPr>
        <w:t xml:space="preserve"> EN-DC</w:t>
      </w:r>
      <w:r w:rsidR="00345EA1">
        <w:rPr>
          <w:sz w:val="22"/>
        </w:rPr>
        <w:t xml:space="preserve"> and for </w:t>
      </w:r>
      <w:r w:rsidR="004527E4">
        <w:rPr>
          <w:sz w:val="22"/>
        </w:rPr>
        <w:t>DC_(n)71B</w:t>
      </w:r>
    </w:p>
    <w:p w14:paraId="209FD21B" w14:textId="3F7A5DB1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2170F3">
        <w:rPr>
          <w:sz w:val="22"/>
        </w:rPr>
        <w:t>7.1.3.1.4</w:t>
      </w:r>
    </w:p>
    <w:p w14:paraId="2E4C06F7" w14:textId="0A8DF8DB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550B8">
        <w:rPr>
          <w:sz w:val="22"/>
        </w:rPr>
        <w:t>Approval</w:t>
      </w:r>
    </w:p>
    <w:p w14:paraId="35B3EB34" w14:textId="471243B4" w:rsidR="0043450E" w:rsidRDefault="002941AB" w:rsidP="002941AB">
      <w:pPr>
        <w:pStyle w:val="Heading1"/>
        <w:ind w:left="0" w:firstLine="0"/>
      </w:pPr>
      <w:r>
        <w:t>1</w:t>
      </w:r>
      <w:r>
        <w:tab/>
      </w:r>
      <w:r>
        <w:tab/>
      </w:r>
      <w:r w:rsidR="0043450E">
        <w:t>Introduction</w:t>
      </w:r>
    </w:p>
    <w:p w14:paraId="03909698" w14:textId="1CC00C98" w:rsidR="00B550B8" w:rsidRDefault="00A63A57" w:rsidP="002941AB">
      <w:r>
        <w:t xml:space="preserve">LTE and NR </w:t>
      </w:r>
      <w:r w:rsidR="005D0872">
        <w:t xml:space="preserve">carrier aggregation </w:t>
      </w:r>
      <w:r>
        <w:t xml:space="preserve">have bandwidth combinations sets, but so far BCS are not specified for intra-band EN-DC. </w:t>
      </w:r>
      <w:r w:rsidR="004527E4">
        <w:t xml:space="preserve">There is a thought to adopt </w:t>
      </w:r>
      <w:r w:rsidR="002712A8">
        <w:t>BCS</w:t>
      </w:r>
      <w:r w:rsidR="005D4B4D">
        <w:t xml:space="preserve"> for intra-band EN-DC intending to </w:t>
      </w:r>
      <w:r w:rsidR="002712A8">
        <w:t xml:space="preserve">limit the amount of </w:t>
      </w:r>
      <w:r>
        <w:t>combinations and permutations of LTE and NR channel bandwidth</w:t>
      </w:r>
      <w:r w:rsidR="00DC66BC">
        <w:t>s</w:t>
      </w:r>
      <w:r w:rsidR="002712A8">
        <w:t xml:space="preserve">. </w:t>
      </w:r>
      <w:r w:rsidR="004527E4">
        <w:t xml:space="preserve">While </w:t>
      </w:r>
      <w:r w:rsidR="005D4B4D">
        <w:t>such idea</w:t>
      </w:r>
      <w:r w:rsidR="004527E4">
        <w:t xml:space="preserve"> makes sense to combinations in frequency bands where amount of spectrum is relatively abundant</w:t>
      </w:r>
      <w:r w:rsidR="005D4B4D" w:rsidRPr="005D4B4D">
        <w:t xml:space="preserve"> </w:t>
      </w:r>
      <w:r w:rsidR="005D4B4D">
        <w:t>such as 2.5 GHz or 3.5 GHz bands</w:t>
      </w:r>
      <w:r w:rsidR="004527E4">
        <w:t xml:space="preserve">, </w:t>
      </w:r>
      <w:r w:rsidR="005D4B4D">
        <w:t xml:space="preserve">we think </w:t>
      </w:r>
      <w:r w:rsidR="00BC2B1A">
        <w:t xml:space="preserve">the same idea does not make sense to combinations </w:t>
      </w:r>
      <w:r w:rsidR="005D4B4D">
        <w:t xml:space="preserve">in frequency bands where amount of spectrum is relatively </w:t>
      </w:r>
      <w:r w:rsidR="00461CA4">
        <w:t xml:space="preserve">small </w:t>
      </w:r>
      <w:r w:rsidR="00BC2B1A">
        <w:t>such as DC_(n)71B. In this paper we discuss</w:t>
      </w:r>
      <w:r w:rsidR="004E16F1">
        <w:t xml:space="preserve"> the need of BCS for </w:t>
      </w:r>
      <w:r w:rsidR="00E93B4F">
        <w:t>i</w:t>
      </w:r>
      <w:r w:rsidR="00894AE3">
        <w:t>ntra-band EN-DC</w:t>
      </w:r>
      <w:r w:rsidR="004E16F1">
        <w:t xml:space="preserve"> in general and</w:t>
      </w:r>
      <w:r w:rsidR="00BC2B1A">
        <w:t xml:space="preserve"> the need of BCS for DC_(n)71B.</w:t>
      </w:r>
    </w:p>
    <w:p w14:paraId="5252E994" w14:textId="77777777" w:rsidR="004C0103" w:rsidRDefault="00DB6938" w:rsidP="00DB6938">
      <w:pPr>
        <w:pStyle w:val="Heading1"/>
      </w:pPr>
      <w:r>
        <w:t>2</w:t>
      </w:r>
      <w:r>
        <w:tab/>
        <w:t>Discussion</w:t>
      </w:r>
    </w:p>
    <w:p w14:paraId="750D79A6" w14:textId="303C64B6" w:rsidR="004E16F1" w:rsidRDefault="00D561B7" w:rsidP="004E16F1">
      <w:r>
        <w:t xml:space="preserve">Our understanding </w:t>
      </w:r>
      <w:r w:rsidR="00782830">
        <w:t>is that the idea</w:t>
      </w:r>
      <w:r w:rsidR="005D4B4D">
        <w:t xml:space="preserve"> of limiting </w:t>
      </w:r>
      <w:r w:rsidR="004E16F1">
        <w:t xml:space="preserve">the </w:t>
      </w:r>
      <w:r w:rsidR="005D4B4D">
        <w:t xml:space="preserve">amount of combinations and permutations of channel bandwidths started in </w:t>
      </w:r>
      <w:r w:rsidR="00461CA4">
        <w:t>NR CA BW class discussion</w:t>
      </w:r>
      <w:r w:rsidR="004E16F1">
        <w:t>, R4-1802111</w:t>
      </w:r>
      <w:r w:rsidR="00461CA4">
        <w:t xml:space="preserve"> [1]</w:t>
      </w:r>
      <w:r w:rsidR="004E16F1">
        <w:t>. Taking the Class D table</w:t>
      </w:r>
      <w:r w:rsidR="007D169F">
        <w:t xml:space="preserve"> 3</w:t>
      </w:r>
      <w:r w:rsidR="004E16F1">
        <w:t xml:space="preserve"> from R4-1802111 for example.</w:t>
      </w:r>
    </w:p>
    <w:p w14:paraId="1D354862" w14:textId="60868412" w:rsidR="004E16F1" w:rsidRDefault="001718D4" w:rsidP="004E16F1">
      <w:r>
        <w:t>Table 3</w:t>
      </w:r>
      <w:r w:rsidR="005D4B4D">
        <w:t>: Class D valid CC combinations</w:t>
      </w:r>
    </w:p>
    <w:p w14:paraId="5F7FFBFE" w14:textId="36A00C75" w:rsidR="004E16F1" w:rsidRDefault="004E16F1" w:rsidP="004E16F1">
      <w:r w:rsidRPr="004E16F1">
        <w:rPr>
          <w:noProof/>
        </w:rPr>
        <w:drawing>
          <wp:inline distT="0" distB="0" distL="0" distR="0" wp14:anchorId="20A42937" wp14:editId="173D7447">
            <wp:extent cx="5943600" cy="21050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14:paraId="125FF533" w14:textId="77777777" w:rsidR="00681590" w:rsidRDefault="001718D4" w:rsidP="004E16F1">
      <w:r>
        <w:t>Here</w:t>
      </w:r>
      <w:r w:rsidR="0045295A">
        <w:t xml:space="preserve"> 3.5 GHz frequency band is in</w:t>
      </w:r>
      <w:r>
        <w:t xml:space="preserve"> discussion. In Table 3, clearly</w:t>
      </w:r>
      <w:r w:rsidR="00137BD5">
        <w:t xml:space="preserve"> </w:t>
      </w:r>
      <w:r w:rsidR="004E16F1">
        <w:t>multipl</w:t>
      </w:r>
      <w:r w:rsidR="00137BD5">
        <w:t>e combinations can end</w:t>
      </w:r>
      <w:r w:rsidR="004E16F1">
        <w:t xml:space="preserve"> up with the same or si</w:t>
      </w:r>
      <w:r w:rsidR="00782830">
        <w:t xml:space="preserve">milar aggregated bandwidths. </w:t>
      </w:r>
      <w:r w:rsidR="004E16F1">
        <w:t>Here the agg</w:t>
      </w:r>
      <w:r w:rsidR="00782830">
        <w:t xml:space="preserve">regated bandwidth </w:t>
      </w:r>
      <w:r w:rsidR="004E16F1">
        <w:t>i</w:t>
      </w:r>
      <w:r w:rsidR="00782830">
        <w:t>s relative high (200 ~ 300 MHz). All these combinations can achieve similar peak throughputs, regardless the detailed CC channel bandwidths or CC order. In this case</w:t>
      </w:r>
      <w:r w:rsidR="004E16F1">
        <w:t xml:space="preserve">, it makes sense to reduce the number of </w:t>
      </w:r>
      <w:r w:rsidR="00782830">
        <w:t>bandwidth combinations or permutations</w:t>
      </w:r>
      <w:r>
        <w:t>.</w:t>
      </w:r>
      <w:r w:rsidR="00681590">
        <w:t xml:space="preserve"> We think t</w:t>
      </w:r>
      <w:r w:rsidR="008802C5">
        <w:t>here is a value</w:t>
      </w:r>
      <w:r w:rsidR="00681590">
        <w:t xml:space="preserve"> in</w:t>
      </w:r>
      <w:r w:rsidR="004F3A61">
        <w:t xml:space="preserve"> adopting BCS.</w:t>
      </w:r>
      <w:r>
        <w:t xml:space="preserve"> The justification is that it simplifies RAN4 work and does not negative impact</w:t>
      </w:r>
      <w:r w:rsidR="004E16F1">
        <w:t xml:space="preserve"> network d</w:t>
      </w:r>
      <w:r>
        <w:t>eployment.</w:t>
      </w:r>
      <w:r w:rsidR="00B5564C">
        <w:t xml:space="preserve"> </w:t>
      </w:r>
    </w:p>
    <w:p w14:paraId="040FB697" w14:textId="20DB02BE" w:rsidR="001718D4" w:rsidRDefault="00681590" w:rsidP="004E16F1">
      <w:r>
        <w:t>We think</w:t>
      </w:r>
      <w:r w:rsidR="00B5564C">
        <w:t xml:space="preserve"> </w:t>
      </w:r>
      <w:r>
        <w:t>that there may be a value in adopting BCS and using it in</w:t>
      </w:r>
      <w:r w:rsidR="00B5564C">
        <w:t xml:space="preserve"> intra-band EN-DC combinations in frequency bands where amount of spectrum is relatively abundant</w:t>
      </w:r>
      <w:r w:rsidR="00B5564C" w:rsidRPr="005D4B4D">
        <w:t xml:space="preserve"> </w:t>
      </w:r>
      <w:r w:rsidR="00B5564C">
        <w:t>such as 2.5 GHz or 3.5 GHz bands.</w:t>
      </w:r>
      <w:r>
        <w:t xml:space="preserve"> But T-Mobile does not have a strong view on this aspect.</w:t>
      </w:r>
    </w:p>
    <w:p w14:paraId="4A0ED61D" w14:textId="4896B5F5" w:rsidR="00C75427" w:rsidRDefault="001718D4" w:rsidP="004E16F1">
      <w:r>
        <w:t xml:space="preserve">On the other hand, </w:t>
      </w:r>
      <w:r w:rsidR="004E16F1">
        <w:t>if we look a</w:t>
      </w:r>
      <w:r>
        <w:t xml:space="preserve">t </w:t>
      </w:r>
      <w:r w:rsidR="004E16F1">
        <w:t>600 MHz</w:t>
      </w:r>
      <w:r>
        <w:t xml:space="preserve"> band</w:t>
      </w:r>
      <w:r w:rsidR="00681590">
        <w:t xml:space="preserve">, all </w:t>
      </w:r>
      <w:r w:rsidR="004E16F1">
        <w:t>justifications</w:t>
      </w:r>
      <w:r w:rsidR="00681590">
        <w:t xml:space="preserve"> in adopting BCS for NR CA cannot</w:t>
      </w:r>
      <w:r w:rsidR="004E16F1">
        <w:t xml:space="preserve"> apply. Tak</w:t>
      </w:r>
      <w:r>
        <w:t xml:space="preserve">e DC_(n)71B for example, the maximum aggregated bandwidth </w:t>
      </w:r>
      <w:r w:rsidR="004E16F1">
        <w:t>is small, only 20</w:t>
      </w:r>
      <w:r w:rsidR="008802C5">
        <w:t xml:space="preserve"> MHz. The number of bandwidth combinations</w:t>
      </w:r>
      <w:r w:rsidR="004E16F1">
        <w:t xml:space="preserve"> is small, hence suppo</w:t>
      </w:r>
      <w:r w:rsidR="008802C5">
        <w:t>rting all bandwidth combinations is not a problem</w:t>
      </w:r>
      <w:r>
        <w:t>. Furthermore,</w:t>
      </w:r>
      <w:r w:rsidR="004E16F1">
        <w:t xml:space="preserve"> consid</w:t>
      </w:r>
      <w:r>
        <w:t xml:space="preserve">ering </w:t>
      </w:r>
      <w:r w:rsidR="00680F7B">
        <w:t xml:space="preserve">things such as </w:t>
      </w:r>
      <w:r>
        <w:t>operators own</w:t>
      </w:r>
      <w:r w:rsidR="00680F7B">
        <w:t>ing</w:t>
      </w:r>
      <w:r w:rsidR="00332815">
        <w:t xml:space="preserve"> different </w:t>
      </w:r>
      <w:r>
        <w:t>bandwidth</w:t>
      </w:r>
      <w:r w:rsidR="004E16F1">
        <w:t xml:space="preserve"> c</w:t>
      </w:r>
      <w:r>
        <w:t>ombinati</w:t>
      </w:r>
      <w:r w:rsidR="00680F7B">
        <w:t>ons in different market</w:t>
      </w:r>
      <w:r>
        <w:t>s</w:t>
      </w:r>
      <w:r w:rsidR="00680F7B">
        <w:t xml:space="preserve">, </w:t>
      </w:r>
      <w:r w:rsidR="004E16F1">
        <w:t>the 39 months</w:t>
      </w:r>
      <w:r w:rsidR="00680F7B">
        <w:t xml:space="preserve"> spectrum-clearing process making</w:t>
      </w:r>
      <w:r w:rsidR="004E16F1">
        <w:t xml:space="preserve"> spectrum</w:t>
      </w:r>
      <w:r w:rsidR="00680F7B">
        <w:t xml:space="preserve"> available gradually over time, and </w:t>
      </w:r>
      <w:r w:rsidR="00332815">
        <w:t xml:space="preserve">the </w:t>
      </w:r>
      <w:r w:rsidR="00680F7B">
        <w:t>aggregated bandwidth dividing</w:t>
      </w:r>
      <w:r w:rsidR="00681590">
        <w:t xml:space="preserve"> </w:t>
      </w:r>
      <w:r w:rsidR="00680F7B">
        <w:t>over</w:t>
      </w:r>
      <w:r w:rsidR="004E16F1">
        <w:t xml:space="preserve"> </w:t>
      </w:r>
      <w:r w:rsidR="00680F7B">
        <w:t xml:space="preserve">LTE and NR, thus spectrum re-farming </w:t>
      </w:r>
      <w:r w:rsidR="00681590">
        <w:t xml:space="preserve">from LTE to NR </w:t>
      </w:r>
      <w:r w:rsidR="00680F7B">
        <w:t>limiting</w:t>
      </w:r>
      <w:r w:rsidR="004E16F1">
        <w:t xml:space="preserve"> </w:t>
      </w:r>
      <w:r w:rsidR="00680F7B">
        <w:t>availability of bandwidth</w:t>
      </w:r>
      <w:r w:rsidR="004E16F1">
        <w:t xml:space="preserve"> combinat</w:t>
      </w:r>
      <w:r w:rsidR="00680F7B">
        <w:t xml:space="preserve">ions for deployment. Putting all these </w:t>
      </w:r>
      <w:r w:rsidR="00680F7B">
        <w:lastRenderedPageBreak/>
        <w:t>into consideration</w:t>
      </w:r>
      <w:r w:rsidR="004E16F1">
        <w:t xml:space="preserve">, </w:t>
      </w:r>
      <w:r w:rsidR="00680F7B">
        <w:t xml:space="preserve">we believe </w:t>
      </w:r>
      <w:r w:rsidR="004E16F1">
        <w:t xml:space="preserve">all </w:t>
      </w:r>
      <w:r w:rsidR="00680F7B">
        <w:t xml:space="preserve">bandwidth </w:t>
      </w:r>
      <w:r w:rsidR="00681590">
        <w:t xml:space="preserve">combinations </w:t>
      </w:r>
      <w:r w:rsidR="00680F7B">
        <w:t xml:space="preserve">are needed </w:t>
      </w:r>
      <w:r w:rsidR="00CC4B00">
        <w:t xml:space="preserve">in order </w:t>
      </w:r>
      <w:r w:rsidR="00680F7B">
        <w:t xml:space="preserve">to support network </w:t>
      </w:r>
      <w:r w:rsidR="004E16F1">
        <w:t>deployment for</w:t>
      </w:r>
      <w:r w:rsidR="00C75427">
        <w:t xml:space="preserve"> DC_(n)71B. </w:t>
      </w:r>
      <w:r w:rsidR="00681590">
        <w:t>Therefore</w:t>
      </w:r>
      <w:r w:rsidR="00CC4B00">
        <w:t xml:space="preserve">, adopting </w:t>
      </w:r>
      <w:r w:rsidR="00681590">
        <w:t xml:space="preserve">BCS </w:t>
      </w:r>
      <w:r w:rsidR="00CC4B00">
        <w:t xml:space="preserve">has little value and </w:t>
      </w:r>
      <w:r w:rsidR="00681590">
        <w:t>is not useful in this case.</w:t>
      </w:r>
    </w:p>
    <w:p w14:paraId="123DD63B" w14:textId="21702C6E" w:rsidR="00442A1D" w:rsidRDefault="00C75427" w:rsidP="004E16F1">
      <w:r>
        <w:t>Furthermore</w:t>
      </w:r>
      <w:r w:rsidR="004E16F1">
        <w:t xml:space="preserve">, if </w:t>
      </w:r>
      <w:r>
        <w:t xml:space="preserve">RAN4 mandate </w:t>
      </w:r>
      <w:r w:rsidR="004E16F1">
        <w:t xml:space="preserve">all </w:t>
      </w:r>
      <w:r w:rsidR="00680F7B">
        <w:t>possible bandwidth</w:t>
      </w:r>
      <w:r>
        <w:t xml:space="preserve"> combinations be supported for </w:t>
      </w:r>
      <w:r w:rsidR="00F13058">
        <w:t>intra-band EN-DC</w:t>
      </w:r>
      <w:r>
        <w:t xml:space="preserve"> bandwidth class B</w:t>
      </w:r>
      <w:r w:rsidR="004E16F1">
        <w:t xml:space="preserve"> (aggrega</w:t>
      </w:r>
      <w:r>
        <w:t>tion BW &lt;= 20 MHz)</w:t>
      </w:r>
      <w:r w:rsidR="00CC4B00">
        <w:t>, then there will be</w:t>
      </w:r>
      <w:r>
        <w:t xml:space="preserve"> no need to define BCS for the B </w:t>
      </w:r>
      <w:r w:rsidR="004E16F1">
        <w:t>class</w:t>
      </w:r>
      <w:r w:rsidR="00CC4B00">
        <w:t>, and RAN4 work can be simplified</w:t>
      </w:r>
      <w:r w:rsidR="004E16F1">
        <w:t xml:space="preserve">. </w:t>
      </w:r>
      <w:r w:rsidR="004B0E99">
        <w:t xml:space="preserve">This </w:t>
      </w:r>
      <w:r w:rsidR="00AB2C9D">
        <w:t>does not preclude BCS being considered</w:t>
      </w:r>
      <w:r>
        <w:t xml:space="preserve"> for other EN-DC </w:t>
      </w:r>
      <w:r w:rsidR="00F13058">
        <w:t>bandwidth classes.</w:t>
      </w:r>
    </w:p>
    <w:p w14:paraId="74F9E004" w14:textId="4AD17910" w:rsidR="00075A5D" w:rsidRDefault="00DC66BC" w:rsidP="00075A5D">
      <w:pPr>
        <w:pStyle w:val="Heading2"/>
      </w:pPr>
      <w:r>
        <w:t>2.1</w:t>
      </w:r>
      <w:r>
        <w:tab/>
        <w:t>Proposal</w:t>
      </w:r>
    </w:p>
    <w:p w14:paraId="145FBC2B" w14:textId="11D87A43" w:rsidR="005D0872" w:rsidRPr="00DC66BC" w:rsidRDefault="007772C4" w:rsidP="00DC66BC">
      <w:r>
        <w:t xml:space="preserve">Based on the </w:t>
      </w:r>
      <w:r w:rsidR="00DC66BC">
        <w:t>discussion, it is proposed either proposal 1 or proposal 2 is approved.</w:t>
      </w:r>
    </w:p>
    <w:p w14:paraId="046A6882" w14:textId="77777777" w:rsidR="006D71B5" w:rsidRPr="005D0872" w:rsidRDefault="006D71B5" w:rsidP="00E72EBB">
      <w:pPr>
        <w:rPr>
          <w:b/>
        </w:rPr>
      </w:pPr>
      <w:r w:rsidRPr="005D0872">
        <w:rPr>
          <w:b/>
        </w:rPr>
        <w:t>Proposal</w:t>
      </w:r>
      <w:r>
        <w:rPr>
          <w:b/>
        </w:rPr>
        <w:t xml:space="preserve"> 1</w:t>
      </w:r>
      <w:r w:rsidRPr="005D0872">
        <w:rPr>
          <w:b/>
        </w:rPr>
        <w:t xml:space="preserve">: RAN4 </w:t>
      </w:r>
      <w:r w:rsidRPr="006612FE">
        <w:rPr>
          <w:b/>
        </w:rPr>
        <w:t xml:space="preserve">mandate all possible bandwidth combinations be supported for intra-band EN-DC bandwidth class B </w:t>
      </w:r>
      <w:r>
        <w:rPr>
          <w:b/>
        </w:rPr>
        <w:t>(aggregation BW &lt;= 20 MHz), thus</w:t>
      </w:r>
      <w:r w:rsidRPr="006612FE">
        <w:rPr>
          <w:b/>
        </w:rPr>
        <w:t xml:space="preserve"> there is no need</w:t>
      </w:r>
      <w:r>
        <w:rPr>
          <w:b/>
        </w:rPr>
        <w:t xml:space="preserve"> to define BCS for </w:t>
      </w:r>
      <w:r w:rsidRPr="006612FE">
        <w:rPr>
          <w:b/>
        </w:rPr>
        <w:t>bandwidth class B</w:t>
      </w:r>
      <w:r>
        <w:rPr>
          <w:b/>
        </w:rPr>
        <w:t>.</w:t>
      </w:r>
    </w:p>
    <w:p w14:paraId="0137FFB3" w14:textId="77777777" w:rsidR="006D71B5" w:rsidRDefault="006D71B5" w:rsidP="006D71B5">
      <w:pPr>
        <w:rPr>
          <w:b/>
        </w:rPr>
      </w:pPr>
      <w:r w:rsidRPr="005D0872">
        <w:rPr>
          <w:b/>
        </w:rPr>
        <w:t>Proposal</w:t>
      </w:r>
      <w:r>
        <w:rPr>
          <w:b/>
        </w:rPr>
        <w:t xml:space="preserve"> 2</w:t>
      </w:r>
      <w:r w:rsidRPr="005D0872">
        <w:rPr>
          <w:b/>
        </w:rPr>
        <w:t xml:space="preserve">: </w:t>
      </w:r>
      <w:r>
        <w:rPr>
          <w:b/>
        </w:rPr>
        <w:t xml:space="preserve">If </w:t>
      </w:r>
      <w:r w:rsidRPr="005D0872">
        <w:rPr>
          <w:b/>
        </w:rPr>
        <w:t xml:space="preserve">RAN4 </w:t>
      </w:r>
      <w:r>
        <w:rPr>
          <w:b/>
        </w:rPr>
        <w:t xml:space="preserve">decide to define BCS for intra-band EN-DC for </w:t>
      </w:r>
      <w:r w:rsidRPr="006612FE">
        <w:rPr>
          <w:b/>
        </w:rPr>
        <w:t xml:space="preserve">all bandwidth </w:t>
      </w:r>
      <w:r>
        <w:rPr>
          <w:b/>
        </w:rPr>
        <w:t xml:space="preserve">classes including </w:t>
      </w:r>
      <w:r w:rsidRPr="006612FE">
        <w:rPr>
          <w:b/>
        </w:rPr>
        <w:t>class B</w:t>
      </w:r>
      <w:r>
        <w:rPr>
          <w:b/>
        </w:rPr>
        <w:t>, then for DC_(n)71B the following bandwidth combinations are supported.</w:t>
      </w:r>
    </w:p>
    <w:tbl>
      <w:tblPr>
        <w:tblW w:w="13416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275"/>
        <w:gridCol w:w="937"/>
        <w:gridCol w:w="608"/>
        <w:gridCol w:w="1305"/>
        <w:gridCol w:w="15"/>
        <w:gridCol w:w="1236"/>
        <w:gridCol w:w="65"/>
        <w:gridCol w:w="1206"/>
        <w:gridCol w:w="21"/>
        <w:gridCol w:w="1195"/>
        <w:gridCol w:w="1230"/>
        <w:gridCol w:w="1269"/>
        <w:gridCol w:w="20"/>
      </w:tblGrid>
      <w:tr w:rsidR="007772C4" w:rsidRPr="005D0872" w14:paraId="1A905512" w14:textId="77777777" w:rsidTr="00E72EBB">
        <w:trPr>
          <w:trHeight w:val="20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C62D2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bookmarkStart w:id="2" w:name="_Hlk510447866"/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813B0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66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83B74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 xml:space="preserve">E-UTRA 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 xml:space="preserve">– NR </w:t>
            </w: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configuration / Bandwidth combination set</w:t>
            </w:r>
          </w:p>
        </w:tc>
        <w:tc>
          <w:tcPr>
            <w:tcW w:w="3714" w:type="dxa"/>
            <w:gridSpan w:val="4"/>
            <w:vAlign w:val="center"/>
            <w:hideMark/>
          </w:tcPr>
          <w:p w14:paraId="4A9D9600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7772C4" w:rsidRPr="005D0872" w14:paraId="7A156129" w14:textId="77777777" w:rsidTr="00E72EBB">
        <w:trPr>
          <w:trHeight w:val="20"/>
        </w:trPr>
        <w:tc>
          <w:tcPr>
            <w:tcW w:w="147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C4990" w14:textId="77777777" w:rsidR="007772C4" w:rsidRDefault="007772C4" w:rsidP="00E72EBB">
            <w:pPr>
              <w:keepNext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 xml:space="preserve">Downlink </w:t>
            </w:r>
          </w:p>
          <w:p w14:paraId="0E3EF1BB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C534D" w14:textId="77777777" w:rsidR="007772C4" w:rsidRDefault="007772C4" w:rsidP="00E72EBB">
            <w:pPr>
              <w:keepNext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ja-JP"/>
              </w:rPr>
            </w:pPr>
          </w:p>
          <w:p w14:paraId="7CA46592" w14:textId="77777777" w:rsidR="007772C4" w:rsidRDefault="007772C4" w:rsidP="00E72EBB">
            <w:pPr>
              <w:keepNext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ja-JP"/>
              </w:rPr>
            </w:pPr>
          </w:p>
          <w:p w14:paraId="49D97F82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ja-JP"/>
              </w:rPr>
              <w:t>Uplink EN-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ja-JP"/>
              </w:rPr>
              <w:t>D</w:t>
            </w: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ja-JP"/>
              </w:rPr>
              <w:t>C configurations</w:t>
            </w:r>
          </w:p>
        </w:tc>
        <w:tc>
          <w:tcPr>
            <w:tcW w:w="414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D869A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19CC3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 xml:space="preserve">Maximum aggregated </w:t>
            </w: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br/>
              <w:t>bandwidth [MHz]</w:t>
            </w:r>
          </w:p>
        </w:tc>
        <w:tc>
          <w:tcPr>
            <w:tcW w:w="1292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79E02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Bandwidth combination set</w:t>
            </w:r>
          </w:p>
        </w:tc>
        <w:tc>
          <w:tcPr>
            <w:tcW w:w="3714" w:type="dxa"/>
            <w:gridSpan w:val="4"/>
            <w:vAlign w:val="center"/>
            <w:hideMark/>
          </w:tcPr>
          <w:p w14:paraId="35C5A345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7772C4" w:rsidRPr="005D0872" w14:paraId="6C2C1386" w14:textId="77777777" w:rsidTr="00E72EBB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D4C98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02FDF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950E2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Channel bandwidths for LTE carrier [MHz]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0C3E5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Channel bandwidths NR for carrier [MHz]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80135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932001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3714" w:type="dxa"/>
            <w:gridSpan w:val="4"/>
            <w:vAlign w:val="center"/>
            <w:hideMark/>
          </w:tcPr>
          <w:p w14:paraId="313F805C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7772C4" w:rsidRPr="005D0872" w14:paraId="56DAB960" w14:textId="77777777" w:rsidTr="00E72EBB">
        <w:trPr>
          <w:trHeight w:val="290"/>
        </w:trPr>
        <w:tc>
          <w:tcPr>
            <w:tcW w:w="147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5EE2B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GB"/>
              </w:rPr>
              <w:t>DC_(n)71B</w:t>
            </w: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ED672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ja-JP"/>
              </w:rPr>
              <w:t>DC_(n)71B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57966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F41C9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23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B6CA5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292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3F1B9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3714" w:type="dxa"/>
            <w:gridSpan w:val="4"/>
            <w:vAlign w:val="center"/>
            <w:hideMark/>
          </w:tcPr>
          <w:p w14:paraId="556D22BE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7772C4" w:rsidRPr="005D0872" w14:paraId="4FDADBA6" w14:textId="77777777" w:rsidTr="00E72EBB">
        <w:trPr>
          <w:trHeight w:val="1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006765D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32F78323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E95C7" w14:textId="77777777" w:rsidR="007772C4" w:rsidRPr="005D0872" w:rsidRDefault="007772C4" w:rsidP="00E72EBB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4D8C0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GB"/>
              </w:rPr>
              <w:t>5, 10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32ABEEFB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08FBD3A0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3714" w:type="dxa"/>
            <w:gridSpan w:val="4"/>
            <w:vMerge w:val="restart"/>
            <w:vAlign w:val="center"/>
            <w:hideMark/>
          </w:tcPr>
          <w:p w14:paraId="3FF25CB1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7772C4" w:rsidRPr="005D0872" w14:paraId="511DF79F" w14:textId="77777777" w:rsidTr="00E72EBB">
        <w:trPr>
          <w:trHeight w:val="278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2957FB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210882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03246" w14:textId="77777777" w:rsidR="007772C4" w:rsidRPr="005D0872" w:rsidRDefault="007772C4" w:rsidP="00E72EBB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</w:p>
        </w:tc>
        <w:tc>
          <w:tcPr>
            <w:tcW w:w="19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59979" w14:textId="77777777" w:rsidR="007772C4" w:rsidRPr="005D0872" w:rsidRDefault="007772C4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GB"/>
              </w:rPr>
              <w:t>5, 10, 15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FD7C1D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8F577B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3714" w:type="dxa"/>
            <w:gridSpan w:val="4"/>
            <w:vMerge/>
            <w:vAlign w:val="center"/>
          </w:tcPr>
          <w:p w14:paraId="501BAF39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72C4" w:rsidRPr="005D0872" w14:paraId="5C962937" w14:textId="77777777" w:rsidTr="00E72EBB">
        <w:tc>
          <w:tcPr>
            <w:tcW w:w="1474" w:type="dxa"/>
            <w:vAlign w:val="center"/>
            <w:hideMark/>
          </w:tcPr>
          <w:p w14:paraId="05B17E69" w14:textId="77777777" w:rsidR="007772C4" w:rsidRPr="005D0872" w:rsidRDefault="007772C4" w:rsidP="00E72EBB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  <w:hideMark/>
          </w:tcPr>
          <w:p w14:paraId="054B27FD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1275" w:type="dxa"/>
            <w:vAlign w:val="center"/>
            <w:hideMark/>
          </w:tcPr>
          <w:p w14:paraId="2F49BDF9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937" w:type="dxa"/>
            <w:vAlign w:val="center"/>
            <w:hideMark/>
          </w:tcPr>
          <w:p w14:paraId="3B09C19D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608" w:type="dxa"/>
            <w:vAlign w:val="center"/>
            <w:hideMark/>
          </w:tcPr>
          <w:p w14:paraId="00557ACE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1305" w:type="dxa"/>
            <w:vAlign w:val="center"/>
            <w:hideMark/>
          </w:tcPr>
          <w:p w14:paraId="6A54F159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15" w:type="dxa"/>
            <w:vAlign w:val="center"/>
            <w:hideMark/>
          </w:tcPr>
          <w:p w14:paraId="57BBCC3B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1301" w:type="dxa"/>
            <w:gridSpan w:val="2"/>
            <w:vAlign w:val="center"/>
            <w:hideMark/>
          </w:tcPr>
          <w:p w14:paraId="5A96E70C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1206" w:type="dxa"/>
            <w:vAlign w:val="center"/>
            <w:hideMark/>
          </w:tcPr>
          <w:p w14:paraId="6A2A9B9C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1216" w:type="dxa"/>
            <w:gridSpan w:val="2"/>
            <w:vAlign w:val="center"/>
            <w:hideMark/>
          </w:tcPr>
          <w:p w14:paraId="7FA0B138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1230" w:type="dxa"/>
            <w:vAlign w:val="center"/>
            <w:hideMark/>
          </w:tcPr>
          <w:p w14:paraId="52BBB3B8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1269" w:type="dxa"/>
            <w:vAlign w:val="center"/>
            <w:hideMark/>
          </w:tcPr>
          <w:p w14:paraId="05EA75C9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20" w:type="dxa"/>
            <w:vAlign w:val="center"/>
            <w:hideMark/>
          </w:tcPr>
          <w:p w14:paraId="0EB54EA1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</w:tr>
      <w:tr w:rsidR="007772C4" w:rsidRPr="005D0872" w14:paraId="33BD83FD" w14:textId="77777777" w:rsidTr="00E72EBB">
        <w:tc>
          <w:tcPr>
            <w:tcW w:w="1474" w:type="dxa"/>
            <w:vAlign w:val="center"/>
            <w:hideMark/>
          </w:tcPr>
          <w:p w14:paraId="07B7FBB3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1560" w:type="dxa"/>
            <w:vAlign w:val="center"/>
            <w:hideMark/>
          </w:tcPr>
          <w:p w14:paraId="383FB7E7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1275" w:type="dxa"/>
            <w:vAlign w:val="center"/>
            <w:hideMark/>
          </w:tcPr>
          <w:p w14:paraId="7F7EE365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937" w:type="dxa"/>
            <w:vAlign w:val="center"/>
            <w:hideMark/>
          </w:tcPr>
          <w:p w14:paraId="41E688A9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608" w:type="dxa"/>
            <w:vAlign w:val="center"/>
            <w:hideMark/>
          </w:tcPr>
          <w:p w14:paraId="441595AF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1305" w:type="dxa"/>
            <w:vAlign w:val="center"/>
            <w:hideMark/>
          </w:tcPr>
          <w:p w14:paraId="0B1C2FB2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15" w:type="dxa"/>
            <w:vAlign w:val="center"/>
            <w:hideMark/>
          </w:tcPr>
          <w:p w14:paraId="535E8054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1236" w:type="dxa"/>
            <w:vAlign w:val="center"/>
            <w:hideMark/>
          </w:tcPr>
          <w:p w14:paraId="6B6DE6FC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65" w:type="dxa"/>
            <w:vAlign w:val="center"/>
            <w:hideMark/>
          </w:tcPr>
          <w:p w14:paraId="724354E5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1206" w:type="dxa"/>
            <w:vAlign w:val="center"/>
            <w:hideMark/>
          </w:tcPr>
          <w:p w14:paraId="1C1CBF11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21" w:type="dxa"/>
            <w:vAlign w:val="center"/>
            <w:hideMark/>
          </w:tcPr>
          <w:p w14:paraId="15DABBFB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1195" w:type="dxa"/>
            <w:vAlign w:val="center"/>
            <w:hideMark/>
          </w:tcPr>
          <w:p w14:paraId="036A46A2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1230" w:type="dxa"/>
            <w:vAlign w:val="center"/>
            <w:hideMark/>
          </w:tcPr>
          <w:p w14:paraId="1F245C0B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1269" w:type="dxa"/>
            <w:vAlign w:val="center"/>
            <w:hideMark/>
          </w:tcPr>
          <w:p w14:paraId="50EBC565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  <w:tc>
          <w:tcPr>
            <w:tcW w:w="20" w:type="dxa"/>
            <w:vAlign w:val="center"/>
            <w:hideMark/>
          </w:tcPr>
          <w:p w14:paraId="0000A4C3" w14:textId="77777777" w:rsidR="007772C4" w:rsidRPr="005D0872" w:rsidRDefault="007772C4" w:rsidP="00E72EBB">
            <w:pPr>
              <w:rPr>
                <w:lang w:eastAsia="en-GB"/>
              </w:rPr>
            </w:pPr>
          </w:p>
        </w:tc>
      </w:tr>
    </w:tbl>
    <w:bookmarkEnd w:id="2"/>
    <w:p w14:paraId="30731375" w14:textId="3047AC30" w:rsidR="001F3FF9" w:rsidRDefault="001F3FF9" w:rsidP="001F3FF9">
      <w:pPr>
        <w:pStyle w:val="Heading1"/>
      </w:pPr>
      <w:r>
        <w:t>3</w:t>
      </w:r>
      <w:r>
        <w:tab/>
        <w:t>Conclusion</w:t>
      </w:r>
    </w:p>
    <w:p w14:paraId="7C74C4F8" w14:textId="466ECFE8" w:rsidR="007772C4" w:rsidRPr="00DC66BC" w:rsidRDefault="007772C4" w:rsidP="007772C4">
      <w:r w:rsidRPr="007772C4">
        <w:t>In this paper we discuss the need of BCS for intra-band EN-DC in general and the need of BCS for DC_(n)71B.</w:t>
      </w:r>
      <w:r>
        <w:t xml:space="preserve"> Based on the discussion, it is proposed either proposal 1 or proposal 2 is approved.</w:t>
      </w:r>
    </w:p>
    <w:p w14:paraId="0AF78ECA" w14:textId="0D5B0C5B" w:rsidR="00BD3E7B" w:rsidRPr="005D0872" w:rsidRDefault="00BD3E7B" w:rsidP="00E72EBB">
      <w:pPr>
        <w:rPr>
          <w:b/>
        </w:rPr>
      </w:pPr>
      <w:r w:rsidRPr="005D0872">
        <w:rPr>
          <w:b/>
        </w:rPr>
        <w:t>Proposal</w:t>
      </w:r>
      <w:r>
        <w:rPr>
          <w:b/>
        </w:rPr>
        <w:t xml:space="preserve"> 1</w:t>
      </w:r>
      <w:r w:rsidRPr="005D0872">
        <w:rPr>
          <w:b/>
        </w:rPr>
        <w:t xml:space="preserve">: RAN4 </w:t>
      </w:r>
      <w:r w:rsidRPr="006612FE">
        <w:rPr>
          <w:b/>
        </w:rPr>
        <w:t xml:space="preserve">mandate all possible bandwidth combinations be supported for intra-band EN-DC bandwidth class B </w:t>
      </w:r>
      <w:r>
        <w:rPr>
          <w:b/>
        </w:rPr>
        <w:t>(aggregation BW &lt;= 20 MHz), thus</w:t>
      </w:r>
      <w:r w:rsidRPr="006612FE">
        <w:rPr>
          <w:b/>
        </w:rPr>
        <w:t xml:space="preserve"> there is no need</w:t>
      </w:r>
      <w:r w:rsidR="00200B71">
        <w:rPr>
          <w:b/>
        </w:rPr>
        <w:t xml:space="preserve"> to define BCS for </w:t>
      </w:r>
      <w:r w:rsidR="00200B71" w:rsidRPr="006612FE">
        <w:rPr>
          <w:b/>
        </w:rPr>
        <w:t>bandwidth class B</w:t>
      </w:r>
      <w:r>
        <w:rPr>
          <w:b/>
        </w:rPr>
        <w:t>.</w:t>
      </w:r>
    </w:p>
    <w:p w14:paraId="562D8677" w14:textId="55EA74BA" w:rsidR="00BD3E7B" w:rsidRDefault="00BD3E7B" w:rsidP="00BD3E7B">
      <w:pPr>
        <w:rPr>
          <w:b/>
        </w:rPr>
      </w:pPr>
      <w:r w:rsidRPr="005D0872">
        <w:rPr>
          <w:b/>
        </w:rPr>
        <w:t>Proposal</w:t>
      </w:r>
      <w:r>
        <w:rPr>
          <w:b/>
        </w:rPr>
        <w:t xml:space="preserve"> 2</w:t>
      </w:r>
      <w:r w:rsidRPr="005D0872">
        <w:rPr>
          <w:b/>
        </w:rPr>
        <w:t xml:space="preserve">: </w:t>
      </w:r>
      <w:r>
        <w:rPr>
          <w:b/>
        </w:rPr>
        <w:t xml:space="preserve">If </w:t>
      </w:r>
      <w:r w:rsidRPr="005D0872">
        <w:rPr>
          <w:b/>
        </w:rPr>
        <w:t xml:space="preserve">RAN4 </w:t>
      </w:r>
      <w:r>
        <w:rPr>
          <w:b/>
        </w:rPr>
        <w:t xml:space="preserve">decide to define BCS for intra-band EN-DC for </w:t>
      </w:r>
      <w:r w:rsidRPr="006612FE">
        <w:rPr>
          <w:b/>
        </w:rPr>
        <w:t xml:space="preserve">all bandwidth </w:t>
      </w:r>
      <w:r>
        <w:rPr>
          <w:b/>
        </w:rPr>
        <w:t xml:space="preserve">classes including </w:t>
      </w:r>
      <w:r w:rsidR="006D71B5" w:rsidRPr="006612FE">
        <w:rPr>
          <w:b/>
        </w:rPr>
        <w:t>class B</w:t>
      </w:r>
      <w:r>
        <w:rPr>
          <w:b/>
        </w:rPr>
        <w:t>, then for DC_(n)71B the following bandwidth combinations are supported.</w:t>
      </w:r>
    </w:p>
    <w:tbl>
      <w:tblPr>
        <w:tblW w:w="13416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275"/>
        <w:gridCol w:w="937"/>
        <w:gridCol w:w="608"/>
        <w:gridCol w:w="1305"/>
        <w:gridCol w:w="15"/>
        <w:gridCol w:w="1236"/>
        <w:gridCol w:w="65"/>
        <w:gridCol w:w="1206"/>
        <w:gridCol w:w="21"/>
        <w:gridCol w:w="1195"/>
        <w:gridCol w:w="1230"/>
        <w:gridCol w:w="1269"/>
        <w:gridCol w:w="20"/>
      </w:tblGrid>
      <w:tr w:rsidR="001F0E2F" w:rsidRPr="005D0872" w14:paraId="24A9761D" w14:textId="77777777" w:rsidTr="00E72EBB">
        <w:trPr>
          <w:trHeight w:val="20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80241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B52A6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66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E9EBF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 xml:space="preserve">E-UTRA 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 xml:space="preserve">– NR </w:t>
            </w: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configuration / Bandwidth combination set</w:t>
            </w:r>
          </w:p>
        </w:tc>
        <w:tc>
          <w:tcPr>
            <w:tcW w:w="3714" w:type="dxa"/>
            <w:gridSpan w:val="4"/>
            <w:vAlign w:val="center"/>
            <w:hideMark/>
          </w:tcPr>
          <w:p w14:paraId="200CC334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1F0E2F" w:rsidRPr="005D0872" w14:paraId="6E967813" w14:textId="77777777" w:rsidTr="00E72EBB">
        <w:trPr>
          <w:trHeight w:val="20"/>
        </w:trPr>
        <w:tc>
          <w:tcPr>
            <w:tcW w:w="147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4F04F" w14:textId="77777777" w:rsidR="001F0E2F" w:rsidRDefault="001F0E2F" w:rsidP="00E72EBB">
            <w:pPr>
              <w:keepNext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 xml:space="preserve">Downlink </w:t>
            </w:r>
          </w:p>
          <w:p w14:paraId="6823BBE5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C3F0C" w14:textId="77777777" w:rsidR="001F0E2F" w:rsidRDefault="001F0E2F" w:rsidP="00E72EBB">
            <w:pPr>
              <w:keepNext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ja-JP"/>
              </w:rPr>
            </w:pPr>
          </w:p>
          <w:p w14:paraId="2B3B76B1" w14:textId="77777777" w:rsidR="001F0E2F" w:rsidRDefault="001F0E2F" w:rsidP="00E72EBB">
            <w:pPr>
              <w:keepNext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ja-JP"/>
              </w:rPr>
            </w:pPr>
          </w:p>
          <w:p w14:paraId="23453B25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ja-JP"/>
              </w:rPr>
              <w:t>Uplink EN-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ja-JP"/>
              </w:rPr>
              <w:t>D</w:t>
            </w: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ja-JP"/>
              </w:rPr>
              <w:t>C configurations</w:t>
            </w:r>
          </w:p>
        </w:tc>
        <w:tc>
          <w:tcPr>
            <w:tcW w:w="414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AC1ED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E5F82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 xml:space="preserve">Maximum aggregated </w:t>
            </w: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br/>
              <w:t>bandwidth [MHz]</w:t>
            </w:r>
          </w:p>
        </w:tc>
        <w:tc>
          <w:tcPr>
            <w:tcW w:w="1292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30A32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Bandwidth combination set</w:t>
            </w:r>
          </w:p>
        </w:tc>
        <w:tc>
          <w:tcPr>
            <w:tcW w:w="3714" w:type="dxa"/>
            <w:gridSpan w:val="4"/>
            <w:vAlign w:val="center"/>
            <w:hideMark/>
          </w:tcPr>
          <w:p w14:paraId="753ADF53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1F0E2F" w:rsidRPr="005D0872" w14:paraId="546E7263" w14:textId="77777777" w:rsidTr="00E72EBB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96AAA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DB5AE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F9758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Channel bandwidths for LTE carrier [MHz]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E0195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Channel bandwidths NR for carrier [MHz]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2F7937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49DC6B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3714" w:type="dxa"/>
            <w:gridSpan w:val="4"/>
            <w:vAlign w:val="center"/>
            <w:hideMark/>
          </w:tcPr>
          <w:p w14:paraId="7099B981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1F0E2F" w:rsidRPr="005D0872" w14:paraId="19FBCD4C" w14:textId="77777777" w:rsidTr="00E72EBB">
        <w:trPr>
          <w:trHeight w:val="290"/>
        </w:trPr>
        <w:tc>
          <w:tcPr>
            <w:tcW w:w="147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728CB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GB"/>
              </w:rPr>
              <w:t>DC_(n)71B</w:t>
            </w: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4ABA4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ja-JP"/>
              </w:rPr>
              <w:t>DC_(n)71B</w:t>
            </w: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99FC0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25541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23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D638D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292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0CFE5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5D0872">
              <w:rPr>
                <w:rFonts w:ascii="Arial" w:eastAsia="Calibri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3714" w:type="dxa"/>
            <w:gridSpan w:val="4"/>
            <w:vAlign w:val="center"/>
            <w:hideMark/>
          </w:tcPr>
          <w:p w14:paraId="7C245C74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1F0E2F" w:rsidRPr="005D0872" w14:paraId="1614E586" w14:textId="77777777" w:rsidTr="00E72EBB">
        <w:trPr>
          <w:trHeight w:val="1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BFF9986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47B19D5E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221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F0A60" w14:textId="77777777" w:rsidR="001F0E2F" w:rsidRPr="005D0872" w:rsidRDefault="001F0E2F" w:rsidP="00E72EBB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DB595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GB"/>
              </w:rPr>
              <w:t>5, 10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7FDBCB26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2E0D6F96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3714" w:type="dxa"/>
            <w:gridSpan w:val="4"/>
            <w:vMerge w:val="restart"/>
            <w:vAlign w:val="center"/>
            <w:hideMark/>
          </w:tcPr>
          <w:p w14:paraId="547E8DDB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5D0872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1F0E2F" w:rsidRPr="005D0872" w14:paraId="276CC6E9" w14:textId="77777777" w:rsidTr="00E72EBB">
        <w:trPr>
          <w:trHeight w:val="278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B60CCA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156351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014A2" w14:textId="77777777" w:rsidR="001F0E2F" w:rsidRPr="005D0872" w:rsidRDefault="001F0E2F" w:rsidP="00E72EBB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</w:p>
        </w:tc>
        <w:tc>
          <w:tcPr>
            <w:tcW w:w="19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46E95" w14:textId="77777777" w:rsidR="001F0E2F" w:rsidRPr="005D0872" w:rsidRDefault="001F0E2F" w:rsidP="00E72EBB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GB"/>
              </w:rPr>
              <w:t>5, 10, 15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C31AE8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EBE26A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3714" w:type="dxa"/>
            <w:gridSpan w:val="4"/>
            <w:vMerge/>
            <w:vAlign w:val="center"/>
          </w:tcPr>
          <w:p w14:paraId="0E59D5D3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1F0E2F" w:rsidRPr="005D0872" w14:paraId="0E9EA56A" w14:textId="77777777" w:rsidTr="00E72EBB">
        <w:tc>
          <w:tcPr>
            <w:tcW w:w="1474" w:type="dxa"/>
            <w:vAlign w:val="center"/>
            <w:hideMark/>
          </w:tcPr>
          <w:p w14:paraId="1317A885" w14:textId="77777777" w:rsidR="001F0E2F" w:rsidRPr="005D0872" w:rsidRDefault="001F0E2F" w:rsidP="00E72EBB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  <w:hideMark/>
          </w:tcPr>
          <w:p w14:paraId="0DA8C1EC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1275" w:type="dxa"/>
            <w:vAlign w:val="center"/>
            <w:hideMark/>
          </w:tcPr>
          <w:p w14:paraId="1E2438C7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937" w:type="dxa"/>
            <w:vAlign w:val="center"/>
            <w:hideMark/>
          </w:tcPr>
          <w:p w14:paraId="6EA2ED0D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608" w:type="dxa"/>
            <w:vAlign w:val="center"/>
            <w:hideMark/>
          </w:tcPr>
          <w:p w14:paraId="7B6D05DA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1305" w:type="dxa"/>
            <w:vAlign w:val="center"/>
            <w:hideMark/>
          </w:tcPr>
          <w:p w14:paraId="20867F66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15" w:type="dxa"/>
            <w:vAlign w:val="center"/>
            <w:hideMark/>
          </w:tcPr>
          <w:p w14:paraId="62D221A0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1301" w:type="dxa"/>
            <w:gridSpan w:val="2"/>
            <w:vAlign w:val="center"/>
            <w:hideMark/>
          </w:tcPr>
          <w:p w14:paraId="3260F275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1206" w:type="dxa"/>
            <w:vAlign w:val="center"/>
            <w:hideMark/>
          </w:tcPr>
          <w:p w14:paraId="4C424B98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1216" w:type="dxa"/>
            <w:gridSpan w:val="2"/>
            <w:vAlign w:val="center"/>
            <w:hideMark/>
          </w:tcPr>
          <w:p w14:paraId="265ADEF0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1230" w:type="dxa"/>
            <w:vAlign w:val="center"/>
            <w:hideMark/>
          </w:tcPr>
          <w:p w14:paraId="07275311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1269" w:type="dxa"/>
            <w:vAlign w:val="center"/>
            <w:hideMark/>
          </w:tcPr>
          <w:p w14:paraId="0AAA574B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20" w:type="dxa"/>
            <w:vAlign w:val="center"/>
            <w:hideMark/>
          </w:tcPr>
          <w:p w14:paraId="43E3A0DA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</w:tr>
      <w:tr w:rsidR="001F0E2F" w:rsidRPr="005D0872" w14:paraId="01E55E56" w14:textId="77777777" w:rsidTr="00E72EBB">
        <w:tc>
          <w:tcPr>
            <w:tcW w:w="1474" w:type="dxa"/>
            <w:vAlign w:val="center"/>
            <w:hideMark/>
          </w:tcPr>
          <w:p w14:paraId="773C7B4B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1560" w:type="dxa"/>
            <w:vAlign w:val="center"/>
            <w:hideMark/>
          </w:tcPr>
          <w:p w14:paraId="6652D764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1275" w:type="dxa"/>
            <w:vAlign w:val="center"/>
            <w:hideMark/>
          </w:tcPr>
          <w:p w14:paraId="131E0DF1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937" w:type="dxa"/>
            <w:vAlign w:val="center"/>
            <w:hideMark/>
          </w:tcPr>
          <w:p w14:paraId="03099EA3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608" w:type="dxa"/>
            <w:vAlign w:val="center"/>
            <w:hideMark/>
          </w:tcPr>
          <w:p w14:paraId="23177CA7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1305" w:type="dxa"/>
            <w:vAlign w:val="center"/>
            <w:hideMark/>
          </w:tcPr>
          <w:p w14:paraId="5715D74E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15" w:type="dxa"/>
            <w:vAlign w:val="center"/>
            <w:hideMark/>
          </w:tcPr>
          <w:p w14:paraId="7BF1A47F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1236" w:type="dxa"/>
            <w:vAlign w:val="center"/>
            <w:hideMark/>
          </w:tcPr>
          <w:p w14:paraId="0040A230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65" w:type="dxa"/>
            <w:vAlign w:val="center"/>
            <w:hideMark/>
          </w:tcPr>
          <w:p w14:paraId="4A9ABD44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1206" w:type="dxa"/>
            <w:vAlign w:val="center"/>
            <w:hideMark/>
          </w:tcPr>
          <w:p w14:paraId="2D5BAB87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21" w:type="dxa"/>
            <w:vAlign w:val="center"/>
            <w:hideMark/>
          </w:tcPr>
          <w:p w14:paraId="30D02965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1195" w:type="dxa"/>
            <w:vAlign w:val="center"/>
            <w:hideMark/>
          </w:tcPr>
          <w:p w14:paraId="3CD0C8E1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1230" w:type="dxa"/>
            <w:vAlign w:val="center"/>
            <w:hideMark/>
          </w:tcPr>
          <w:p w14:paraId="30B73AA1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1269" w:type="dxa"/>
            <w:vAlign w:val="center"/>
            <w:hideMark/>
          </w:tcPr>
          <w:p w14:paraId="0050F2A2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  <w:tc>
          <w:tcPr>
            <w:tcW w:w="20" w:type="dxa"/>
            <w:vAlign w:val="center"/>
            <w:hideMark/>
          </w:tcPr>
          <w:p w14:paraId="3C78D08C" w14:textId="77777777" w:rsidR="001F0E2F" w:rsidRPr="005D0872" w:rsidRDefault="001F0E2F" w:rsidP="00E72EBB">
            <w:pPr>
              <w:rPr>
                <w:lang w:eastAsia="en-GB"/>
              </w:rPr>
            </w:pPr>
          </w:p>
        </w:tc>
      </w:tr>
    </w:tbl>
    <w:p w14:paraId="5760B214" w14:textId="77777777" w:rsidR="001F0E2F" w:rsidRPr="00693393" w:rsidRDefault="001F0E2F" w:rsidP="001F0E2F">
      <w:pPr>
        <w:rPr>
          <w:b/>
        </w:rPr>
      </w:pPr>
    </w:p>
    <w:p w14:paraId="0C1C345C" w14:textId="31116608" w:rsidR="007772C4" w:rsidRDefault="007772C4" w:rsidP="005D0872"/>
    <w:p w14:paraId="575CD20B" w14:textId="74C309B2" w:rsidR="001F3FF9" w:rsidRDefault="001F3FF9" w:rsidP="001F3FF9">
      <w:pPr>
        <w:pStyle w:val="Heading1"/>
      </w:pPr>
      <w:r>
        <w:lastRenderedPageBreak/>
        <w:t>4</w:t>
      </w:r>
      <w:r>
        <w:tab/>
        <w:t>References</w:t>
      </w:r>
    </w:p>
    <w:p w14:paraId="4F542CF0" w14:textId="332E4213" w:rsidR="00B36D9C" w:rsidRPr="00B24824" w:rsidRDefault="00B36D9C" w:rsidP="00B36D9C">
      <w:r>
        <w:t xml:space="preserve">[1] </w:t>
      </w:r>
      <w:r w:rsidRPr="00B36D9C">
        <w:t>R4-1802111</w:t>
      </w:r>
      <w:r>
        <w:t xml:space="preserve">, </w:t>
      </w:r>
      <w:r w:rsidR="006F0B7E" w:rsidRPr="006F0B7E">
        <w:t>CA BW Class</w:t>
      </w:r>
      <w:r>
        <w:t>,</w:t>
      </w:r>
      <w:r w:rsidR="006F0B7E" w:rsidRPr="006F0B7E">
        <w:t xml:space="preserve"> Nokia, Nokia Shanghai Bell</w:t>
      </w:r>
      <w:r>
        <w:t>, RAN4#86</w:t>
      </w:r>
    </w:p>
    <w:p w14:paraId="0E9EACC2" w14:textId="0C71F2D9" w:rsidR="00A07CB8" w:rsidRDefault="00A07CB8" w:rsidP="001F3FF9"/>
    <w:sectPr w:rsidR="00A07CB8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E2913" w14:textId="77777777" w:rsidR="00C324C4" w:rsidRDefault="00C324C4" w:rsidP="002B3503">
      <w:pPr>
        <w:spacing w:after="0"/>
      </w:pPr>
      <w:r>
        <w:separator/>
      </w:r>
    </w:p>
  </w:endnote>
  <w:endnote w:type="continuationSeparator" w:id="0">
    <w:p w14:paraId="5F05AF69" w14:textId="77777777" w:rsidR="00C324C4" w:rsidRDefault="00C324C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82DD3" w14:textId="77777777" w:rsidR="00C324C4" w:rsidRDefault="00C324C4" w:rsidP="002B3503">
      <w:pPr>
        <w:spacing w:after="0"/>
      </w:pPr>
      <w:r>
        <w:separator/>
      </w:r>
    </w:p>
  </w:footnote>
  <w:footnote w:type="continuationSeparator" w:id="0">
    <w:p w14:paraId="58C5856E" w14:textId="77777777" w:rsidR="00C324C4" w:rsidRDefault="00C324C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4F507" w14:textId="77777777" w:rsidR="00604D01" w:rsidRDefault="00604D0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81FC6"/>
    <w:multiLevelType w:val="hybridMultilevel"/>
    <w:tmpl w:val="68D62FF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6580B"/>
    <w:multiLevelType w:val="hybridMultilevel"/>
    <w:tmpl w:val="C5D4FFB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29398A"/>
    <w:multiLevelType w:val="hybridMultilevel"/>
    <w:tmpl w:val="5DFABB50"/>
    <w:lvl w:ilvl="0" w:tplc="8288FD2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D410DD"/>
    <w:multiLevelType w:val="hybridMultilevel"/>
    <w:tmpl w:val="A7C81C44"/>
    <w:lvl w:ilvl="0" w:tplc="428434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24C15"/>
    <w:rsid w:val="00025FA9"/>
    <w:rsid w:val="0003006D"/>
    <w:rsid w:val="00055371"/>
    <w:rsid w:val="00075A5D"/>
    <w:rsid w:val="0008047C"/>
    <w:rsid w:val="0009601C"/>
    <w:rsid w:val="000B4E56"/>
    <w:rsid w:val="000D48F2"/>
    <w:rsid w:val="000E6FCC"/>
    <w:rsid w:val="000F027F"/>
    <w:rsid w:val="000F2546"/>
    <w:rsid w:val="00115226"/>
    <w:rsid w:val="00120728"/>
    <w:rsid w:val="00136D72"/>
    <w:rsid w:val="00137BD5"/>
    <w:rsid w:val="001718D4"/>
    <w:rsid w:val="0017765A"/>
    <w:rsid w:val="0018632C"/>
    <w:rsid w:val="001A7E8B"/>
    <w:rsid w:val="001C1530"/>
    <w:rsid w:val="001C5F30"/>
    <w:rsid w:val="001D3953"/>
    <w:rsid w:val="001F0E2F"/>
    <w:rsid w:val="001F3FF9"/>
    <w:rsid w:val="00200B71"/>
    <w:rsid w:val="00203C80"/>
    <w:rsid w:val="00214C87"/>
    <w:rsid w:val="002170F3"/>
    <w:rsid w:val="0022365D"/>
    <w:rsid w:val="00230D7A"/>
    <w:rsid w:val="00233131"/>
    <w:rsid w:val="00245353"/>
    <w:rsid w:val="00264353"/>
    <w:rsid w:val="002712A8"/>
    <w:rsid w:val="002761D5"/>
    <w:rsid w:val="00281E8F"/>
    <w:rsid w:val="002837BB"/>
    <w:rsid w:val="00291DDD"/>
    <w:rsid w:val="002941AB"/>
    <w:rsid w:val="00295652"/>
    <w:rsid w:val="0029697F"/>
    <w:rsid w:val="002A7181"/>
    <w:rsid w:val="002B3503"/>
    <w:rsid w:val="002E37EF"/>
    <w:rsid w:val="002F4BE3"/>
    <w:rsid w:val="002F6A38"/>
    <w:rsid w:val="002F7E6F"/>
    <w:rsid w:val="00323751"/>
    <w:rsid w:val="00332815"/>
    <w:rsid w:val="00343AE9"/>
    <w:rsid w:val="00345EA1"/>
    <w:rsid w:val="003777FE"/>
    <w:rsid w:val="00386306"/>
    <w:rsid w:val="00397FDA"/>
    <w:rsid w:val="003B0064"/>
    <w:rsid w:val="00410D17"/>
    <w:rsid w:val="00411083"/>
    <w:rsid w:val="00421FEB"/>
    <w:rsid w:val="00424278"/>
    <w:rsid w:val="004314F2"/>
    <w:rsid w:val="0043450E"/>
    <w:rsid w:val="00442A1D"/>
    <w:rsid w:val="004527E4"/>
    <w:rsid w:val="0045295A"/>
    <w:rsid w:val="00454E53"/>
    <w:rsid w:val="004567C4"/>
    <w:rsid w:val="00461CA4"/>
    <w:rsid w:val="00485CCC"/>
    <w:rsid w:val="00491386"/>
    <w:rsid w:val="00491A21"/>
    <w:rsid w:val="004B0E99"/>
    <w:rsid w:val="004C0103"/>
    <w:rsid w:val="004D3D81"/>
    <w:rsid w:val="004E16F1"/>
    <w:rsid w:val="004F3A61"/>
    <w:rsid w:val="0051588E"/>
    <w:rsid w:val="00516132"/>
    <w:rsid w:val="00525300"/>
    <w:rsid w:val="00570B14"/>
    <w:rsid w:val="00572AA5"/>
    <w:rsid w:val="00573A2C"/>
    <w:rsid w:val="00580DD9"/>
    <w:rsid w:val="005A2E27"/>
    <w:rsid w:val="005D0872"/>
    <w:rsid w:val="005D4B4D"/>
    <w:rsid w:val="00604D01"/>
    <w:rsid w:val="006146C6"/>
    <w:rsid w:val="00627580"/>
    <w:rsid w:val="00641C2E"/>
    <w:rsid w:val="00646043"/>
    <w:rsid w:val="006612FE"/>
    <w:rsid w:val="00680F7B"/>
    <w:rsid w:val="00681590"/>
    <w:rsid w:val="0068714B"/>
    <w:rsid w:val="00693393"/>
    <w:rsid w:val="006B1FFC"/>
    <w:rsid w:val="006B7446"/>
    <w:rsid w:val="006C59FD"/>
    <w:rsid w:val="006C6840"/>
    <w:rsid w:val="006D032C"/>
    <w:rsid w:val="006D71B5"/>
    <w:rsid w:val="006F0B7E"/>
    <w:rsid w:val="00707F66"/>
    <w:rsid w:val="00712547"/>
    <w:rsid w:val="00723C1E"/>
    <w:rsid w:val="00726265"/>
    <w:rsid w:val="007353D9"/>
    <w:rsid w:val="00741AB9"/>
    <w:rsid w:val="00755AFF"/>
    <w:rsid w:val="00775658"/>
    <w:rsid w:val="007757EA"/>
    <w:rsid w:val="007772C4"/>
    <w:rsid w:val="00781820"/>
    <w:rsid w:val="00782830"/>
    <w:rsid w:val="007A319F"/>
    <w:rsid w:val="007B642A"/>
    <w:rsid w:val="007D169F"/>
    <w:rsid w:val="007D20DF"/>
    <w:rsid w:val="007D3DFC"/>
    <w:rsid w:val="008050B5"/>
    <w:rsid w:val="00814137"/>
    <w:rsid w:val="008342BF"/>
    <w:rsid w:val="00854E89"/>
    <w:rsid w:val="00861EAE"/>
    <w:rsid w:val="008674C8"/>
    <w:rsid w:val="008802C5"/>
    <w:rsid w:val="00880917"/>
    <w:rsid w:val="0088482F"/>
    <w:rsid w:val="00890A8F"/>
    <w:rsid w:val="00892CDC"/>
    <w:rsid w:val="00894AE3"/>
    <w:rsid w:val="008A4493"/>
    <w:rsid w:val="008C5B4B"/>
    <w:rsid w:val="008D2EA4"/>
    <w:rsid w:val="008D7E7A"/>
    <w:rsid w:val="008F010F"/>
    <w:rsid w:val="00903B09"/>
    <w:rsid w:val="00914785"/>
    <w:rsid w:val="009304B4"/>
    <w:rsid w:val="00940559"/>
    <w:rsid w:val="00970466"/>
    <w:rsid w:val="009761A7"/>
    <w:rsid w:val="00992792"/>
    <w:rsid w:val="009A19F2"/>
    <w:rsid w:val="009B1E68"/>
    <w:rsid w:val="009B40C4"/>
    <w:rsid w:val="009C61DA"/>
    <w:rsid w:val="00A04BE7"/>
    <w:rsid w:val="00A06650"/>
    <w:rsid w:val="00A07CB8"/>
    <w:rsid w:val="00A1705E"/>
    <w:rsid w:val="00A451E8"/>
    <w:rsid w:val="00A6018C"/>
    <w:rsid w:val="00A63A57"/>
    <w:rsid w:val="00A760A9"/>
    <w:rsid w:val="00A85B1F"/>
    <w:rsid w:val="00A91AB9"/>
    <w:rsid w:val="00AB2C9D"/>
    <w:rsid w:val="00AB5927"/>
    <w:rsid w:val="00AC515F"/>
    <w:rsid w:val="00AE14F0"/>
    <w:rsid w:val="00AF4F1B"/>
    <w:rsid w:val="00B2039A"/>
    <w:rsid w:val="00B32845"/>
    <w:rsid w:val="00B32F10"/>
    <w:rsid w:val="00B36D9C"/>
    <w:rsid w:val="00B550B8"/>
    <w:rsid w:val="00B5564C"/>
    <w:rsid w:val="00B65B59"/>
    <w:rsid w:val="00B90A58"/>
    <w:rsid w:val="00BC1579"/>
    <w:rsid w:val="00BC2B1A"/>
    <w:rsid w:val="00BC764C"/>
    <w:rsid w:val="00BD3E7B"/>
    <w:rsid w:val="00C03F8D"/>
    <w:rsid w:val="00C131B9"/>
    <w:rsid w:val="00C1651C"/>
    <w:rsid w:val="00C220C0"/>
    <w:rsid w:val="00C324C4"/>
    <w:rsid w:val="00C45684"/>
    <w:rsid w:val="00C65700"/>
    <w:rsid w:val="00C75427"/>
    <w:rsid w:val="00C87626"/>
    <w:rsid w:val="00C95B57"/>
    <w:rsid w:val="00CB2757"/>
    <w:rsid w:val="00CC3780"/>
    <w:rsid w:val="00CC4B00"/>
    <w:rsid w:val="00CD1963"/>
    <w:rsid w:val="00D21C06"/>
    <w:rsid w:val="00D25694"/>
    <w:rsid w:val="00D25C49"/>
    <w:rsid w:val="00D275CC"/>
    <w:rsid w:val="00D468C5"/>
    <w:rsid w:val="00D561B7"/>
    <w:rsid w:val="00D61C4F"/>
    <w:rsid w:val="00D70652"/>
    <w:rsid w:val="00D767C4"/>
    <w:rsid w:val="00D84AF6"/>
    <w:rsid w:val="00DB6244"/>
    <w:rsid w:val="00DB6938"/>
    <w:rsid w:val="00DC4223"/>
    <w:rsid w:val="00DC66BC"/>
    <w:rsid w:val="00DD2528"/>
    <w:rsid w:val="00E053B7"/>
    <w:rsid w:val="00E122E9"/>
    <w:rsid w:val="00E14293"/>
    <w:rsid w:val="00E17A02"/>
    <w:rsid w:val="00E247C6"/>
    <w:rsid w:val="00E33803"/>
    <w:rsid w:val="00E33B68"/>
    <w:rsid w:val="00E3665A"/>
    <w:rsid w:val="00E372B4"/>
    <w:rsid w:val="00E54D0B"/>
    <w:rsid w:val="00E63421"/>
    <w:rsid w:val="00E634F0"/>
    <w:rsid w:val="00E7587D"/>
    <w:rsid w:val="00E77421"/>
    <w:rsid w:val="00E80DFE"/>
    <w:rsid w:val="00E93B4F"/>
    <w:rsid w:val="00E943E6"/>
    <w:rsid w:val="00EA713C"/>
    <w:rsid w:val="00EB090C"/>
    <w:rsid w:val="00ED0F00"/>
    <w:rsid w:val="00EE5CA0"/>
    <w:rsid w:val="00EF5B45"/>
    <w:rsid w:val="00EF7A56"/>
    <w:rsid w:val="00F13058"/>
    <w:rsid w:val="00F27F21"/>
    <w:rsid w:val="00F43D10"/>
    <w:rsid w:val="00F562A7"/>
    <w:rsid w:val="00F753FC"/>
    <w:rsid w:val="00F918E0"/>
    <w:rsid w:val="00FB1368"/>
    <w:rsid w:val="00FD085A"/>
    <w:rsid w:val="00FE13BD"/>
    <w:rsid w:val="00FE4538"/>
    <w:rsid w:val="00FF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3D21F4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C4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61C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61C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61C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61C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1C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61C4F"/>
    <w:pPr>
      <w:outlineLvl w:val="5"/>
    </w:pPr>
  </w:style>
  <w:style w:type="paragraph" w:styleId="Heading7">
    <w:name w:val="heading 7"/>
    <w:basedOn w:val="H6"/>
    <w:next w:val="Normal"/>
    <w:qFormat/>
    <w:rsid w:val="00D61C4F"/>
    <w:pPr>
      <w:outlineLvl w:val="6"/>
    </w:pPr>
  </w:style>
  <w:style w:type="paragraph" w:styleId="Heading8">
    <w:name w:val="heading 8"/>
    <w:basedOn w:val="Heading1"/>
    <w:next w:val="Normal"/>
    <w:qFormat/>
    <w:rsid w:val="00D61C4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1C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61C4F"/>
    <w:pPr>
      <w:spacing w:before="180"/>
      <w:ind w:left="2693" w:hanging="2693"/>
    </w:pPr>
    <w:rPr>
      <w:b/>
    </w:rPr>
  </w:style>
  <w:style w:type="paragraph" w:styleId="TOC1">
    <w:name w:val="toc 1"/>
    <w:semiHidden/>
    <w:rsid w:val="00D61C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61C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61C4F"/>
    <w:pPr>
      <w:ind w:left="1701" w:hanging="1701"/>
    </w:pPr>
  </w:style>
  <w:style w:type="paragraph" w:styleId="TOC4">
    <w:name w:val="toc 4"/>
    <w:basedOn w:val="TOC3"/>
    <w:semiHidden/>
    <w:rsid w:val="00D61C4F"/>
    <w:pPr>
      <w:ind w:left="1418" w:hanging="1418"/>
    </w:pPr>
  </w:style>
  <w:style w:type="paragraph" w:styleId="TOC3">
    <w:name w:val="toc 3"/>
    <w:basedOn w:val="TOC2"/>
    <w:semiHidden/>
    <w:rsid w:val="00D61C4F"/>
    <w:pPr>
      <w:ind w:left="1134" w:hanging="1134"/>
    </w:pPr>
  </w:style>
  <w:style w:type="paragraph" w:styleId="TOC2">
    <w:name w:val="toc 2"/>
    <w:basedOn w:val="TOC1"/>
    <w:semiHidden/>
    <w:rsid w:val="00D61C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1C4F"/>
    <w:pPr>
      <w:ind w:left="284"/>
    </w:pPr>
  </w:style>
  <w:style w:type="paragraph" w:styleId="Index1">
    <w:name w:val="index 1"/>
    <w:basedOn w:val="Normal"/>
    <w:semiHidden/>
    <w:rsid w:val="00D61C4F"/>
    <w:pPr>
      <w:keepLines/>
      <w:spacing w:after="0"/>
    </w:pPr>
  </w:style>
  <w:style w:type="paragraph" w:customStyle="1" w:styleId="ZH">
    <w:name w:val="ZH"/>
    <w:rsid w:val="00D61C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61C4F"/>
    <w:pPr>
      <w:outlineLvl w:val="9"/>
    </w:pPr>
  </w:style>
  <w:style w:type="paragraph" w:styleId="ListNumber2">
    <w:name w:val="List Number 2"/>
    <w:basedOn w:val="ListNumber"/>
    <w:semiHidden/>
    <w:rsid w:val="00D61C4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61C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61C4F"/>
    <w:rPr>
      <w:b/>
      <w:position w:val="6"/>
      <w:sz w:val="16"/>
    </w:rPr>
  </w:style>
  <w:style w:type="paragraph" w:styleId="FootnoteText">
    <w:name w:val="footnote text"/>
    <w:basedOn w:val="Normal"/>
    <w:semiHidden/>
    <w:rsid w:val="00D61C4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61C4F"/>
    <w:rPr>
      <w:b/>
    </w:rPr>
  </w:style>
  <w:style w:type="paragraph" w:customStyle="1" w:styleId="TAC">
    <w:name w:val="TAC"/>
    <w:basedOn w:val="TAL"/>
    <w:link w:val="TACChar"/>
    <w:rsid w:val="00D61C4F"/>
    <w:pPr>
      <w:jc w:val="center"/>
    </w:pPr>
  </w:style>
  <w:style w:type="paragraph" w:customStyle="1" w:styleId="TF">
    <w:name w:val="TF"/>
    <w:basedOn w:val="TH"/>
    <w:rsid w:val="00D61C4F"/>
    <w:pPr>
      <w:keepNext w:val="0"/>
      <w:spacing w:before="0" w:after="240"/>
    </w:pPr>
  </w:style>
  <w:style w:type="paragraph" w:customStyle="1" w:styleId="NO">
    <w:name w:val="NO"/>
    <w:basedOn w:val="Normal"/>
    <w:rsid w:val="00D61C4F"/>
    <w:pPr>
      <w:keepLines/>
      <w:ind w:left="1135" w:hanging="851"/>
    </w:pPr>
  </w:style>
  <w:style w:type="paragraph" w:styleId="TOC9">
    <w:name w:val="toc 9"/>
    <w:basedOn w:val="TOC8"/>
    <w:semiHidden/>
    <w:rsid w:val="00D61C4F"/>
    <w:pPr>
      <w:ind w:left="1418" w:hanging="1418"/>
    </w:pPr>
  </w:style>
  <w:style w:type="paragraph" w:customStyle="1" w:styleId="EX">
    <w:name w:val="EX"/>
    <w:basedOn w:val="Normal"/>
    <w:rsid w:val="00D61C4F"/>
    <w:pPr>
      <w:keepLines/>
      <w:ind w:left="1702" w:hanging="1418"/>
    </w:pPr>
  </w:style>
  <w:style w:type="paragraph" w:customStyle="1" w:styleId="FP">
    <w:name w:val="FP"/>
    <w:basedOn w:val="Normal"/>
    <w:rsid w:val="00D61C4F"/>
    <w:pPr>
      <w:spacing w:after="0"/>
    </w:pPr>
  </w:style>
  <w:style w:type="paragraph" w:customStyle="1" w:styleId="LD">
    <w:name w:val="LD"/>
    <w:rsid w:val="00D61C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61C4F"/>
    <w:pPr>
      <w:spacing w:after="0"/>
    </w:pPr>
  </w:style>
  <w:style w:type="paragraph" w:customStyle="1" w:styleId="EW">
    <w:name w:val="EW"/>
    <w:basedOn w:val="EX"/>
    <w:rsid w:val="00D61C4F"/>
    <w:pPr>
      <w:spacing w:after="0"/>
    </w:pPr>
  </w:style>
  <w:style w:type="paragraph" w:styleId="TOC6">
    <w:name w:val="toc 6"/>
    <w:basedOn w:val="TOC5"/>
    <w:next w:val="Normal"/>
    <w:semiHidden/>
    <w:rsid w:val="00D61C4F"/>
    <w:pPr>
      <w:ind w:left="1985" w:hanging="1985"/>
    </w:pPr>
  </w:style>
  <w:style w:type="paragraph" w:styleId="TOC7">
    <w:name w:val="toc 7"/>
    <w:basedOn w:val="TOC6"/>
    <w:next w:val="Normal"/>
    <w:semiHidden/>
    <w:rsid w:val="00D61C4F"/>
    <w:pPr>
      <w:ind w:left="2268" w:hanging="2268"/>
    </w:pPr>
  </w:style>
  <w:style w:type="paragraph" w:styleId="ListBullet2">
    <w:name w:val="List Bullet 2"/>
    <w:basedOn w:val="ListBullet"/>
    <w:semiHidden/>
    <w:rsid w:val="00D61C4F"/>
    <w:pPr>
      <w:ind w:left="851"/>
    </w:pPr>
  </w:style>
  <w:style w:type="paragraph" w:styleId="ListBullet3">
    <w:name w:val="List Bullet 3"/>
    <w:basedOn w:val="ListBullet2"/>
    <w:semiHidden/>
    <w:rsid w:val="00D61C4F"/>
    <w:pPr>
      <w:ind w:left="1135"/>
    </w:pPr>
  </w:style>
  <w:style w:type="paragraph" w:styleId="ListNumber">
    <w:name w:val="List Number"/>
    <w:basedOn w:val="List"/>
    <w:semiHidden/>
    <w:rsid w:val="00D61C4F"/>
  </w:style>
  <w:style w:type="paragraph" w:customStyle="1" w:styleId="EQ">
    <w:name w:val="EQ"/>
    <w:basedOn w:val="Normal"/>
    <w:next w:val="Normal"/>
    <w:rsid w:val="00D61C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61C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1C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1C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61C4F"/>
    <w:pPr>
      <w:jc w:val="right"/>
    </w:pPr>
  </w:style>
  <w:style w:type="paragraph" w:customStyle="1" w:styleId="H6">
    <w:name w:val="H6"/>
    <w:basedOn w:val="Heading5"/>
    <w:next w:val="Normal"/>
    <w:rsid w:val="00D61C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1C4F"/>
    <w:pPr>
      <w:ind w:left="851" w:hanging="851"/>
    </w:pPr>
  </w:style>
  <w:style w:type="paragraph" w:customStyle="1" w:styleId="TAL">
    <w:name w:val="TAL"/>
    <w:basedOn w:val="Normal"/>
    <w:rsid w:val="00D61C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1C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61C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61C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61C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61C4F"/>
    <w:pPr>
      <w:framePr w:wrap="notBeside" w:y="16161"/>
    </w:pPr>
  </w:style>
  <w:style w:type="character" w:customStyle="1" w:styleId="ZGSM">
    <w:name w:val="ZGSM"/>
    <w:rsid w:val="00D61C4F"/>
  </w:style>
  <w:style w:type="paragraph" w:styleId="List2">
    <w:name w:val="List 2"/>
    <w:basedOn w:val="List"/>
    <w:semiHidden/>
    <w:rsid w:val="00D61C4F"/>
    <w:pPr>
      <w:ind w:left="851"/>
    </w:pPr>
  </w:style>
  <w:style w:type="paragraph" w:customStyle="1" w:styleId="ZG">
    <w:name w:val="ZG"/>
    <w:rsid w:val="00D61C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61C4F"/>
    <w:pPr>
      <w:ind w:left="1135"/>
    </w:pPr>
  </w:style>
  <w:style w:type="paragraph" w:styleId="List4">
    <w:name w:val="List 4"/>
    <w:basedOn w:val="List3"/>
    <w:semiHidden/>
    <w:rsid w:val="00D61C4F"/>
    <w:pPr>
      <w:ind w:left="1418"/>
    </w:pPr>
  </w:style>
  <w:style w:type="paragraph" w:styleId="List5">
    <w:name w:val="List 5"/>
    <w:basedOn w:val="List4"/>
    <w:semiHidden/>
    <w:rsid w:val="00D61C4F"/>
    <w:pPr>
      <w:ind w:left="1702"/>
    </w:pPr>
  </w:style>
  <w:style w:type="paragraph" w:customStyle="1" w:styleId="EditorsNote">
    <w:name w:val="Editor's Note"/>
    <w:basedOn w:val="NO"/>
    <w:rsid w:val="00D61C4F"/>
    <w:rPr>
      <w:color w:val="FF0000"/>
    </w:rPr>
  </w:style>
  <w:style w:type="paragraph" w:styleId="List">
    <w:name w:val="List"/>
    <w:basedOn w:val="Normal"/>
    <w:semiHidden/>
    <w:rsid w:val="00D61C4F"/>
    <w:pPr>
      <w:ind w:left="568" w:hanging="284"/>
    </w:pPr>
  </w:style>
  <w:style w:type="paragraph" w:styleId="ListBullet">
    <w:name w:val="List Bullet"/>
    <w:basedOn w:val="List"/>
    <w:semiHidden/>
    <w:rsid w:val="00D61C4F"/>
  </w:style>
  <w:style w:type="paragraph" w:styleId="ListBullet4">
    <w:name w:val="List Bullet 4"/>
    <w:basedOn w:val="ListBullet3"/>
    <w:semiHidden/>
    <w:rsid w:val="00D61C4F"/>
    <w:pPr>
      <w:ind w:left="1418"/>
    </w:pPr>
  </w:style>
  <w:style w:type="paragraph" w:styleId="ListBullet5">
    <w:name w:val="List Bullet 5"/>
    <w:basedOn w:val="ListBullet4"/>
    <w:semiHidden/>
    <w:rsid w:val="00D61C4F"/>
    <w:pPr>
      <w:ind w:left="1702"/>
    </w:pPr>
  </w:style>
  <w:style w:type="paragraph" w:customStyle="1" w:styleId="B1">
    <w:name w:val="B1"/>
    <w:basedOn w:val="List"/>
    <w:rsid w:val="00D61C4F"/>
  </w:style>
  <w:style w:type="paragraph" w:customStyle="1" w:styleId="B2">
    <w:name w:val="B2"/>
    <w:basedOn w:val="List2"/>
    <w:rsid w:val="00D61C4F"/>
  </w:style>
  <w:style w:type="paragraph" w:customStyle="1" w:styleId="B3">
    <w:name w:val="B3"/>
    <w:basedOn w:val="List3"/>
    <w:rsid w:val="00D61C4F"/>
  </w:style>
  <w:style w:type="paragraph" w:customStyle="1" w:styleId="B4">
    <w:name w:val="B4"/>
    <w:basedOn w:val="List4"/>
    <w:rsid w:val="00D61C4F"/>
  </w:style>
  <w:style w:type="paragraph" w:customStyle="1" w:styleId="B5">
    <w:name w:val="B5"/>
    <w:basedOn w:val="List5"/>
    <w:rsid w:val="00D61C4F"/>
  </w:style>
  <w:style w:type="paragraph" w:styleId="Footer">
    <w:name w:val="footer"/>
    <w:basedOn w:val="Header"/>
    <w:semiHidden/>
    <w:rsid w:val="00D61C4F"/>
    <w:pPr>
      <w:jc w:val="center"/>
    </w:pPr>
    <w:rPr>
      <w:i/>
    </w:rPr>
  </w:style>
  <w:style w:type="paragraph" w:customStyle="1" w:styleId="ZTD">
    <w:name w:val="ZTD"/>
    <w:basedOn w:val="ZB"/>
    <w:rsid w:val="00D61C4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character" w:customStyle="1" w:styleId="THChar">
    <w:name w:val="TH Char"/>
    <w:link w:val="TH"/>
    <w:rsid w:val="00DB6938"/>
    <w:rPr>
      <w:rFonts w:ascii="Arial" w:hAnsi="Arial"/>
      <w:b/>
      <w:lang w:val="en-GB" w:eastAsia="en-US"/>
    </w:rPr>
  </w:style>
  <w:style w:type="paragraph" w:customStyle="1" w:styleId="TableText">
    <w:name w:val="TableText"/>
    <w:basedOn w:val="BodyTextIndent"/>
    <w:rsid w:val="002761D5"/>
    <w:pPr>
      <w:keepNext/>
      <w:keepLines/>
      <w:spacing w:after="180"/>
      <w:ind w:left="0"/>
      <w:jc w:val="center"/>
    </w:pPr>
    <w:rPr>
      <w:rFonts w:eastAsia="Malgun Gothic"/>
      <w:snapToGrid w:val="0"/>
      <w:kern w:val="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761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761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6032A-C9B0-4644-AD73-112257C92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Ueng, Nelson</cp:lastModifiedBy>
  <cp:revision>49</cp:revision>
  <cp:lastPrinted>1900-01-01T08:00:00Z</cp:lastPrinted>
  <dcterms:created xsi:type="dcterms:W3CDTF">2018-03-22T11:53:00Z</dcterms:created>
  <dcterms:modified xsi:type="dcterms:W3CDTF">2018-04-04T17:57:00Z</dcterms:modified>
</cp:coreProperties>
</file>